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outlineLvl w:val="9"/>
        <w:rPr>
          <w:rFonts w:hint="eastAsia"/>
          <w:b/>
          <w:bCs/>
          <w:sz w:val="28"/>
          <w:szCs w:val="28"/>
          <w:lang w:val="en-US" w:eastAsia="zh-CN"/>
        </w:rPr>
      </w:pPr>
      <w:r>
        <w:rPr>
          <w:rFonts w:hint="eastAsia"/>
          <w:b/>
          <w:bCs/>
          <w:sz w:val="28"/>
          <w:szCs w:val="28"/>
          <w:lang w:val="en-US" w:eastAsia="zh-CN"/>
        </w:rPr>
        <w:t>附件一：</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b/>
          <w:bCs/>
          <w:sz w:val="28"/>
          <w:szCs w:val="28"/>
        </w:rPr>
      </w:pPr>
      <w:bookmarkStart w:id="0" w:name="_GoBack"/>
      <w:r>
        <w:rPr>
          <w:rFonts w:hint="eastAsia"/>
          <w:b/>
          <w:bCs/>
          <w:sz w:val="28"/>
          <w:szCs w:val="28"/>
        </w:rPr>
        <w:t>《中国共产党纪律处分条例》关于违反中央八项规定精神问题的规定</w:t>
      </w:r>
      <w:bookmarkEnd w:id="0"/>
    </w:p>
    <w:p>
      <w:pPr>
        <w:keepNext w:val="0"/>
        <w:keepLines w:val="0"/>
        <w:pageBreakBefore w:val="0"/>
        <w:widowControl w:val="0"/>
        <w:kinsoku/>
        <w:wordWrap/>
        <w:overflowPunct/>
        <w:topLinePunct w:val="0"/>
        <w:autoSpaceDE/>
        <w:autoSpaceDN/>
        <w:bidi w:val="0"/>
        <w:adjustRightInd/>
        <w:snapToGrid/>
        <w:textAlignment w:val="auto"/>
        <w:outlineLvl w:val="9"/>
      </w:pPr>
    </w:p>
    <w:p>
      <w:pPr>
        <w:keepNext w:val="0"/>
        <w:keepLines w:val="0"/>
        <w:pageBreakBefore w:val="0"/>
        <w:widowControl w:val="0"/>
        <w:kinsoku/>
        <w:wordWrap/>
        <w:overflowPunct/>
        <w:topLinePunct w:val="0"/>
        <w:autoSpaceDE/>
        <w:autoSpaceDN/>
        <w:bidi w:val="0"/>
        <w:adjustRightInd/>
        <w:snapToGrid/>
        <w:textAlignment w:val="auto"/>
        <w:outlineLvl w:val="9"/>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b/>
          <w:bCs/>
          <w:sz w:val="24"/>
          <w:szCs w:val="24"/>
          <w:lang w:val="en-US" w:eastAsia="zh-CN"/>
        </w:rPr>
      </w:pPr>
      <w:r>
        <w:rPr>
          <w:rFonts w:hint="eastAsia"/>
          <w:b/>
          <w:bCs/>
          <w:sz w:val="24"/>
          <w:szCs w:val="24"/>
          <w:lang w:val="en-US" w:eastAsia="zh-CN"/>
        </w:rPr>
        <w:t>一、公款吃喝，超标准接待问题</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楷体" w:hAnsi="楷体" w:eastAsia="楷体" w:cs="楷体"/>
          <w:b w:val="0"/>
          <w:bCs w:val="0"/>
          <w:sz w:val="24"/>
          <w:szCs w:val="24"/>
          <w:lang w:val="en-US" w:eastAsia="zh-CN"/>
        </w:rPr>
      </w:pPr>
      <w:r>
        <w:rPr>
          <w:rFonts w:hint="eastAsia" w:ascii="楷体" w:hAnsi="楷体" w:eastAsia="楷体" w:cs="楷体"/>
          <w:b/>
          <w:bCs/>
          <w:sz w:val="24"/>
          <w:szCs w:val="24"/>
          <w:lang w:val="en-US" w:eastAsia="zh-CN"/>
        </w:rPr>
        <w:t>第一百零六条　</w:t>
      </w:r>
      <w:r>
        <w:rPr>
          <w:rFonts w:hint="eastAsia" w:ascii="楷体" w:hAnsi="楷体" w:eastAsia="楷体" w:cs="楷体"/>
          <w:b w:val="0"/>
          <w:bCs w:val="0"/>
          <w:sz w:val="24"/>
          <w:szCs w:val="24"/>
          <w:lang w:val="en-US" w:eastAsia="zh-CN"/>
        </w:rPr>
        <w:t>违反公务接待管理规定，超标准、超范围接待或者借机大吃大喝，对直接责任者和领导责任者，情节较重的，给予警告或者严重警告处分；情节严重的，给予撤销党内职务处分。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公款国内旅游，公款出国境旅游问题</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outlineLvl w:val="9"/>
        <w:rPr>
          <w:rFonts w:hint="eastAsia" w:asciiTheme="minorEastAsia" w:hAnsiTheme="minorEastAsia" w:cstheme="minorEastAsia"/>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楷体" w:hAnsi="楷体" w:eastAsia="楷体" w:cs="楷体"/>
          <w:b w:val="0"/>
          <w:bCs w:val="0"/>
          <w:sz w:val="24"/>
          <w:szCs w:val="24"/>
          <w:lang w:val="en-US" w:eastAsia="zh-CN"/>
        </w:rPr>
      </w:pPr>
      <w:r>
        <w:rPr>
          <w:rFonts w:hint="eastAsia" w:ascii="楷体" w:hAnsi="楷体" w:eastAsia="楷体" w:cs="楷体"/>
          <w:b/>
          <w:bCs/>
          <w:sz w:val="24"/>
          <w:szCs w:val="24"/>
          <w:lang w:val="en-US" w:eastAsia="zh-CN"/>
        </w:rPr>
        <w:t>第一百零五条　</w:t>
      </w:r>
      <w:r>
        <w:rPr>
          <w:rFonts w:hint="eastAsia" w:ascii="楷体" w:hAnsi="楷体" w:eastAsia="楷体" w:cs="楷体"/>
          <w:b w:val="0"/>
          <w:bCs w:val="0"/>
          <w:sz w:val="24"/>
          <w:szCs w:val="24"/>
          <w:lang w:val="en-US" w:eastAsia="zh-CN"/>
        </w:rPr>
        <w:t>有下列行为之一，对直接责任者和领导责任者，情节较轻的，给予警告或者严重警告处分；情节较重的，给予撤销党内职务或者留党察看处分；情节严重的，给予开除党籍处分：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　　（一）公款旅游或者以学习培训、考察调研、职工疗养等为名变相公款旅游的；</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　　（二）改变公务行程，借机旅游的；</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　　（三）参加所管理企业、下属单位组织的考察活动，借机旅游的。</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　　以考察、学习、培训、研讨、招商、参展等名义变相用公款出国（境）旅游的，依照前款规定处理。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楷体" w:hAnsi="楷体" w:eastAsia="楷体" w:cs="楷体"/>
          <w:b w:val="0"/>
          <w:bCs w:val="0"/>
          <w:sz w:val="24"/>
          <w:szCs w:val="2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违规配备使用公务用车，住房违规问题</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outlineLvl w:val="9"/>
        <w:rPr>
          <w:rFonts w:hint="eastAsia" w:asciiTheme="minorEastAsia" w:hAnsiTheme="minorEastAsia" w:cstheme="minorEastAsia"/>
          <w:b/>
          <w:bCs/>
          <w:sz w:val="24"/>
          <w:szCs w:val="24"/>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82" w:firstLineChars="200"/>
        <w:textAlignment w:val="auto"/>
        <w:outlineLvl w:val="9"/>
        <w:rPr>
          <w:rFonts w:hint="eastAsia" w:ascii="楷体" w:hAnsi="楷体" w:eastAsia="楷体" w:cs="楷体"/>
          <w:b w:val="0"/>
          <w:bCs w:val="0"/>
          <w:sz w:val="24"/>
          <w:szCs w:val="24"/>
          <w:lang w:val="en-US" w:eastAsia="zh-CN"/>
        </w:rPr>
      </w:pPr>
      <w:r>
        <w:rPr>
          <w:rFonts w:hint="eastAsia" w:ascii="楷体" w:hAnsi="楷体" w:eastAsia="楷体" w:cs="楷体"/>
          <w:b/>
          <w:bCs/>
          <w:sz w:val="24"/>
          <w:szCs w:val="24"/>
          <w:lang w:val="en-US" w:eastAsia="zh-CN"/>
        </w:rPr>
        <w:t>第九十条　</w:t>
      </w:r>
      <w:r>
        <w:rPr>
          <w:rFonts w:hint="eastAsia" w:ascii="楷体" w:hAnsi="楷体" w:eastAsia="楷体" w:cs="楷体"/>
          <w:b w:val="0"/>
          <w:bCs w:val="0"/>
          <w:sz w:val="24"/>
          <w:szCs w:val="24"/>
          <w:lang w:val="en-US" w:eastAsia="zh-CN"/>
        </w:rPr>
        <w:t>借用管理和服务对象的钱款、住房、车辆等，影响公正执行公务，情节较重的，给予警告或者严重警告处分；情节严重的，给予撤销党内职务、留党察看或者开除党籍处分。</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outlineLvl w:val="9"/>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　　通过民间借贷等金融活动获取大额回报，影响公正执行公务的，依照前款规定处理。</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82" w:firstLineChars="200"/>
        <w:textAlignment w:val="auto"/>
        <w:outlineLvl w:val="9"/>
        <w:rPr>
          <w:rFonts w:hint="eastAsia" w:asciiTheme="minorEastAsia" w:hAnsiTheme="minorEastAsia" w:cstheme="minorEastAsia"/>
          <w:b/>
          <w:bCs/>
          <w:sz w:val="24"/>
          <w:szCs w:val="24"/>
          <w:lang w:val="en-US" w:eastAsia="zh-CN"/>
        </w:rPr>
      </w:pPr>
      <w:r>
        <w:rPr>
          <w:rFonts w:hint="eastAsia" w:ascii="楷体" w:hAnsi="楷体" w:eastAsia="楷体" w:cs="楷体"/>
          <w:b/>
          <w:bCs/>
          <w:sz w:val="24"/>
          <w:szCs w:val="24"/>
          <w:lang w:val="en-US" w:eastAsia="zh-CN"/>
        </w:rPr>
        <w:t>第一百条　</w:t>
      </w:r>
      <w:r>
        <w:rPr>
          <w:rFonts w:hint="eastAsia" w:ascii="楷体" w:hAnsi="楷体" w:eastAsia="楷体" w:cs="楷体"/>
          <w:b w:val="0"/>
          <w:bCs w:val="0"/>
          <w:sz w:val="24"/>
          <w:szCs w:val="24"/>
          <w:lang w:val="en-US" w:eastAsia="zh-CN"/>
        </w:rPr>
        <w:t>在分配、购买住房中侵犯国家、集体利益，情节较轻的，给予警告或者严重警告处分；情节较重的，给予撤销党内职务或者留党察看处分；情节严重的，给予开除党籍处分。</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outlineLvl w:val="9"/>
        <w:rPr>
          <w:rFonts w:hint="eastAsia" w:ascii="楷体" w:hAnsi="楷体" w:eastAsia="楷体" w:cs="楷体"/>
          <w:b w:val="0"/>
          <w:bCs w:val="0"/>
          <w:sz w:val="24"/>
          <w:szCs w:val="24"/>
          <w:lang w:val="en-US" w:eastAsia="zh-CN"/>
        </w:rPr>
      </w:pPr>
      <w:r>
        <w:rPr>
          <w:rFonts w:hint="eastAsia" w:asciiTheme="minorEastAsia" w:hAnsiTheme="minorEastAsia" w:cstheme="minorEastAsia"/>
          <w:b/>
          <w:bCs/>
          <w:sz w:val="24"/>
          <w:szCs w:val="24"/>
          <w:lang w:val="en-US" w:eastAsia="zh-CN"/>
        </w:rPr>
        <w:t xml:space="preserve">　  </w:t>
      </w:r>
      <w:r>
        <w:rPr>
          <w:rFonts w:hint="eastAsia" w:ascii="楷体" w:hAnsi="楷体" w:eastAsia="楷体" w:cs="楷体"/>
          <w:b/>
          <w:bCs/>
          <w:sz w:val="24"/>
          <w:szCs w:val="24"/>
          <w:lang w:val="en-US" w:eastAsia="zh-CN"/>
        </w:rPr>
        <w:t>第一百零七条　</w:t>
      </w:r>
      <w:r>
        <w:rPr>
          <w:rFonts w:hint="eastAsia" w:ascii="楷体" w:hAnsi="楷体" w:eastAsia="楷体" w:cs="楷体"/>
          <w:b w:val="0"/>
          <w:bCs w:val="0"/>
          <w:sz w:val="24"/>
          <w:szCs w:val="24"/>
          <w:lang w:val="en-US" w:eastAsia="zh-CN"/>
        </w:rPr>
        <w:t>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outlineLvl w:val="9"/>
        <w:rPr>
          <w:rFonts w:hint="eastAsia" w:asciiTheme="minorEastAsia" w:hAnsiTheme="minorEastAsia" w:cstheme="minorEastAsia"/>
          <w:b/>
          <w:bCs/>
          <w:sz w:val="24"/>
          <w:szCs w:val="2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楼堂馆所问题</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outlineLvl w:val="9"/>
        <w:rPr>
          <w:rFonts w:hint="eastAsia" w:asciiTheme="minorEastAsia" w:hAnsiTheme="minorEastAsia" w:cstheme="minorEastAsia"/>
          <w:b/>
          <w:bCs/>
          <w:sz w:val="24"/>
          <w:szCs w:val="24"/>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2" w:firstLineChars="200"/>
        <w:textAlignment w:val="auto"/>
        <w:outlineLvl w:val="9"/>
        <w:rPr>
          <w:rFonts w:hint="eastAsia" w:ascii="楷体" w:hAnsi="楷体" w:eastAsia="楷体" w:cs="楷体"/>
          <w:b w:val="0"/>
          <w:bCs w:val="0"/>
          <w:sz w:val="24"/>
          <w:szCs w:val="24"/>
          <w:lang w:val="en-US" w:eastAsia="zh-CN"/>
        </w:rPr>
      </w:pPr>
      <w:r>
        <w:rPr>
          <w:rFonts w:hint="eastAsia" w:ascii="楷体" w:hAnsi="楷体" w:eastAsia="楷体" w:cs="楷体"/>
          <w:b/>
          <w:bCs/>
          <w:sz w:val="24"/>
          <w:szCs w:val="24"/>
          <w:lang w:val="en-US" w:eastAsia="zh-CN"/>
        </w:rPr>
        <w:t>第一百零九条</w:t>
      </w:r>
      <w:r>
        <w:rPr>
          <w:rFonts w:hint="eastAsia" w:ascii="楷体" w:hAnsi="楷体" w:eastAsia="楷体" w:cs="楷体"/>
          <w:b w:val="0"/>
          <w:bCs w:val="0"/>
          <w:sz w:val="24"/>
          <w:szCs w:val="24"/>
          <w:lang w:val="en-US" w:eastAsia="zh-CN"/>
        </w:rPr>
        <w:t>　违反办公用房管理等规定，有下列行为之一，对直接责任者和领导责任者，情节较重的，给予警告或者严重警告处分；情节严重的，给予撤销党内职务处分：</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outlineLvl w:val="9"/>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　　（一）决定或者批准兴建、装修办公楼、培训中心等楼堂馆所的；</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outlineLvl w:val="9"/>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　　（二）超标准配备、使用办公用房的；</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80"/>
        <w:textAlignment w:val="auto"/>
        <w:outlineLvl w:val="9"/>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（三）用公款包租、占用客房或者其他场所供个人使用的。</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outlineLvl w:val="9"/>
        <w:rPr>
          <w:rFonts w:hint="eastAsia" w:ascii="楷体" w:hAnsi="楷体" w:eastAsia="楷体" w:cs="楷体"/>
          <w:b w:val="0"/>
          <w:bCs w:val="0"/>
          <w:sz w:val="24"/>
          <w:szCs w:val="24"/>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outlineLvl w:val="9"/>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五、违规发放津补贴或福利问题</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outlineLvl w:val="9"/>
        <w:rPr>
          <w:rFonts w:hint="eastAsia" w:asciiTheme="minorEastAsia" w:hAnsiTheme="minorEastAsia" w:cstheme="minorEastAsia"/>
          <w:b w:val="0"/>
          <w:bCs w:val="0"/>
          <w:sz w:val="24"/>
          <w:szCs w:val="24"/>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82" w:firstLineChars="200"/>
        <w:textAlignment w:val="auto"/>
        <w:outlineLvl w:val="9"/>
        <w:rPr>
          <w:rFonts w:hint="eastAsia" w:asciiTheme="minorEastAsia" w:hAnsiTheme="minorEastAsia" w:cstheme="minorEastAsia"/>
          <w:b/>
          <w:bCs/>
          <w:sz w:val="24"/>
          <w:szCs w:val="24"/>
          <w:lang w:val="en-US" w:eastAsia="zh-CN"/>
        </w:rPr>
      </w:pPr>
      <w:r>
        <w:rPr>
          <w:rFonts w:hint="eastAsia" w:ascii="楷体" w:hAnsi="楷体" w:eastAsia="楷体" w:cs="楷体"/>
          <w:b/>
          <w:bCs/>
          <w:sz w:val="24"/>
          <w:szCs w:val="24"/>
          <w:lang w:val="en-US" w:eastAsia="zh-CN"/>
        </w:rPr>
        <w:t>第一百零四条　</w:t>
      </w:r>
      <w:r>
        <w:rPr>
          <w:rFonts w:hint="eastAsia" w:ascii="楷体" w:hAnsi="楷体" w:eastAsia="楷体" w:cs="楷体"/>
          <w:b w:val="0"/>
          <w:bCs w:val="0"/>
          <w:sz w:val="24"/>
          <w:szCs w:val="24"/>
          <w:lang w:val="en-US" w:eastAsia="zh-CN"/>
        </w:rPr>
        <w:t>违反有关规定自定薪酬或者滥发津贴、补贴、奖金等，对直接责任者和领导责任者，情节较轻的，给予警告或者严重警告处分；情节较重的，给予撤销党内职务或者留党察看处分；情节严重的，给予开除党籍处分。</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outlineLvl w:val="9"/>
        <w:rPr>
          <w:rFonts w:hint="eastAsia" w:asciiTheme="minorEastAsia" w:hAnsiTheme="minorEastAsia" w:cstheme="minorEastAsia"/>
          <w:b/>
          <w:bCs/>
          <w:sz w:val="24"/>
          <w:szCs w:val="24"/>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outlineLvl w:val="9"/>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六、违规收送礼品礼金问题</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82" w:firstLineChars="200"/>
        <w:textAlignment w:val="auto"/>
        <w:outlineLvl w:val="9"/>
        <w:rPr>
          <w:rFonts w:hint="eastAsia" w:ascii="楷体" w:hAnsi="楷体" w:eastAsia="楷体" w:cs="楷体"/>
          <w:b w:val="0"/>
          <w:bCs w:val="0"/>
          <w:sz w:val="24"/>
          <w:szCs w:val="24"/>
          <w:lang w:val="en-US" w:eastAsia="zh-CN"/>
        </w:rPr>
      </w:pPr>
      <w:r>
        <w:rPr>
          <w:rFonts w:hint="eastAsia" w:ascii="楷体" w:hAnsi="楷体" w:eastAsia="楷体" w:cs="楷体"/>
          <w:b/>
          <w:bCs/>
          <w:sz w:val="24"/>
          <w:szCs w:val="24"/>
          <w:lang w:val="en-US" w:eastAsia="zh-CN"/>
        </w:rPr>
        <w:t>第八十八条</w:t>
      </w:r>
      <w:r>
        <w:rPr>
          <w:rFonts w:hint="eastAsia" w:ascii="楷体" w:hAnsi="楷体" w:eastAsia="楷体" w:cs="楷体"/>
          <w:b w:val="0"/>
          <w:bCs w:val="0"/>
          <w:sz w:val="24"/>
          <w:szCs w:val="24"/>
          <w:lang w:val="en-US" w:eastAsia="zh-CN"/>
        </w:rPr>
        <w:t>　收受可能影响公正执行公务的礼品、礼金、消费卡和有价证券、股权、其他金融产品等财物，情节较轻的，给予警告或者严重警告处分；情节较重的，给予撤销党内职务或者留党察看处分；情节严重的，给予开除党籍处分。</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outlineLvl w:val="9"/>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　　收受其他明显超出正常礼尚往来的财物的，依照前款规定处理。</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80"/>
        <w:textAlignment w:val="auto"/>
        <w:outlineLvl w:val="9"/>
        <w:rPr>
          <w:rFonts w:hint="eastAsia" w:ascii="楷体" w:hAnsi="楷体" w:eastAsia="楷体" w:cs="楷体"/>
          <w:b w:val="0"/>
          <w:bCs w:val="0"/>
          <w:sz w:val="24"/>
          <w:szCs w:val="24"/>
          <w:lang w:val="en-US" w:eastAsia="zh-CN"/>
        </w:rPr>
      </w:pPr>
      <w:r>
        <w:rPr>
          <w:rFonts w:hint="eastAsia" w:ascii="楷体" w:hAnsi="楷体" w:eastAsia="楷体" w:cs="楷体"/>
          <w:b/>
          <w:bCs/>
          <w:sz w:val="24"/>
          <w:szCs w:val="24"/>
          <w:lang w:val="en-US" w:eastAsia="zh-CN"/>
        </w:rPr>
        <w:t>第八十九条</w:t>
      </w:r>
      <w:r>
        <w:rPr>
          <w:rFonts w:hint="eastAsia" w:ascii="楷体" w:hAnsi="楷体" w:eastAsia="楷体" w:cs="楷体"/>
          <w:b w:val="0"/>
          <w:bCs w:val="0"/>
          <w:sz w:val="24"/>
          <w:szCs w:val="24"/>
          <w:lang w:val="en-US" w:eastAsia="zh-CN"/>
        </w:rPr>
        <w:t>　向从事公务的人员及其配偶、子女及其配偶等亲属和其他特定关系人赠送明显超出正常礼尚往来的礼品、礼金、消费卡和有价证券、股权、其他金融产品等财物，情节较重的，给予警告或者严重警告处分；情节严重的，给予撤销党内职务或者留党察看处分。</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outlineLvl w:val="9"/>
        <w:rPr>
          <w:rFonts w:hint="eastAsia" w:ascii="楷体" w:hAnsi="楷体" w:eastAsia="楷体" w:cs="楷体"/>
          <w:b w:val="0"/>
          <w:bCs w:val="0"/>
          <w:sz w:val="24"/>
          <w:szCs w:val="24"/>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outlineLvl w:val="9"/>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七、大办婚丧喜庆问题</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outlineLvl w:val="9"/>
        <w:rPr>
          <w:rFonts w:hint="eastAsia" w:asciiTheme="minorEastAsia" w:hAnsiTheme="minorEastAsia" w:cstheme="minorEastAsia"/>
          <w:b/>
          <w:bCs/>
          <w:sz w:val="24"/>
          <w:szCs w:val="24"/>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82" w:firstLineChars="200"/>
        <w:textAlignment w:val="auto"/>
        <w:outlineLvl w:val="9"/>
        <w:rPr>
          <w:rFonts w:hint="eastAsia" w:ascii="楷体" w:hAnsi="楷体" w:eastAsia="楷体" w:cs="楷体"/>
          <w:b w:val="0"/>
          <w:bCs w:val="0"/>
          <w:sz w:val="24"/>
          <w:szCs w:val="24"/>
          <w:lang w:val="en-US" w:eastAsia="zh-CN"/>
        </w:rPr>
      </w:pPr>
      <w:r>
        <w:rPr>
          <w:rFonts w:hint="eastAsia" w:ascii="楷体" w:hAnsi="楷体" w:eastAsia="楷体" w:cs="楷体"/>
          <w:b/>
          <w:bCs/>
          <w:sz w:val="24"/>
          <w:szCs w:val="24"/>
          <w:lang w:val="en-US" w:eastAsia="zh-CN"/>
        </w:rPr>
        <w:t>第九十一条</w:t>
      </w:r>
      <w:r>
        <w:rPr>
          <w:rFonts w:hint="eastAsia" w:ascii="楷体" w:hAnsi="楷体" w:eastAsia="楷体" w:cs="楷体"/>
          <w:b w:val="0"/>
          <w:bCs w:val="0"/>
          <w:sz w:val="24"/>
          <w:szCs w:val="24"/>
          <w:lang w:val="en-US" w:eastAsia="zh-CN"/>
        </w:rPr>
        <w:t>　利用职权或者职务上的影响操办婚丧喜庆事宜，在社会上造成不良影响的，给予警告或者严重警告处分；情节严重的，给予撤销党内职务处分；借机敛财或者有其他侵犯国家、集体和人民利益行为的，从重或者加重处分，直至开除党籍。</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outlineLvl w:val="9"/>
        <w:rPr>
          <w:rFonts w:hint="eastAsia" w:asciiTheme="minorEastAsia" w:hAnsiTheme="minorEastAsia" w:cstheme="minorEastAsia"/>
          <w:b/>
          <w:bCs/>
          <w:sz w:val="24"/>
          <w:szCs w:val="24"/>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outlineLvl w:val="9"/>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八、接受或用公款参与高消费娱乐等问题</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Theme="minorEastAsia" w:hAnsiTheme="minorEastAsia" w:eastAsiaTheme="minorEastAsia" w:cstheme="minorEastAsia"/>
          <w:b/>
          <w:bCs/>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楷体" w:hAnsi="楷体" w:eastAsia="楷体" w:cs="楷体"/>
          <w:sz w:val="24"/>
          <w:szCs w:val="24"/>
          <w:lang w:val="en-US" w:eastAsia="zh-CN"/>
        </w:rPr>
      </w:pPr>
      <w:r>
        <w:rPr>
          <w:rFonts w:hint="eastAsia" w:ascii="楷体" w:hAnsi="楷体" w:eastAsia="楷体" w:cs="楷体"/>
          <w:b/>
          <w:bCs/>
          <w:sz w:val="24"/>
          <w:szCs w:val="24"/>
          <w:lang w:val="en-US" w:eastAsia="zh-CN"/>
        </w:rPr>
        <w:t>第一百零三条</w:t>
      </w:r>
      <w:r>
        <w:rPr>
          <w:rFonts w:hint="eastAsia" w:ascii="楷体" w:hAnsi="楷体" w:eastAsia="楷体" w:cs="楷体"/>
          <w:sz w:val="24"/>
          <w:szCs w:val="24"/>
          <w:lang w:val="en-US" w:eastAsia="zh-CN"/>
        </w:rPr>
        <w:t>　违反有关规定组织、参加用公款支付的宴请、高消费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b/>
          <w:bCs/>
          <w:sz w:val="24"/>
          <w:szCs w:val="24"/>
          <w:lang w:val="en-US" w:eastAsia="zh-CN"/>
        </w:rPr>
      </w:pPr>
      <w:r>
        <w:rPr>
          <w:rFonts w:hint="eastAsia"/>
          <w:b/>
          <w:bCs/>
          <w:sz w:val="24"/>
          <w:szCs w:val="24"/>
          <w:lang w:val="en-US" w:eastAsia="zh-CN"/>
        </w:rPr>
        <w:t>九、违规取得、持有、实际使用各种消费卡或者违规出入私人会所问题</w:t>
      </w:r>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b/>
          <w:bCs/>
          <w:sz w:val="24"/>
          <w:szCs w:val="24"/>
          <w:lang w:val="en-US" w:eastAsia="zh-CN"/>
        </w:rPr>
      </w:pPr>
      <w:r>
        <w:rPr>
          <w:rFonts w:hint="eastAsia" w:ascii="楷体" w:hAnsi="楷体" w:eastAsia="楷体" w:cs="楷体"/>
          <w:b/>
          <w:bCs/>
          <w:sz w:val="24"/>
          <w:szCs w:val="24"/>
          <w:lang w:val="en-US" w:eastAsia="zh-CN"/>
        </w:rPr>
        <w:t>第九十三条</w:t>
      </w:r>
      <w:r>
        <w:rPr>
          <w:rFonts w:hint="eastAsia" w:ascii="楷体" w:hAnsi="楷体" w:eastAsia="楷体" w:cs="楷体"/>
          <w:b w:val="0"/>
          <w:bCs w:val="0"/>
          <w:sz w:val="24"/>
          <w:szCs w:val="24"/>
          <w:lang w:val="en-US" w:eastAsia="zh-CN"/>
        </w:rPr>
        <w:t>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ind w:left="482" w:hanging="482" w:hangingChars="200"/>
        <w:jc w:val="left"/>
        <w:textAlignment w:val="auto"/>
        <w:outlineLvl w:val="9"/>
        <w:rPr>
          <w:rFonts w:hint="eastAsia"/>
          <w:b/>
          <w:bCs/>
          <w:sz w:val="24"/>
          <w:szCs w:val="24"/>
          <w:lang w:val="en-US" w:eastAsia="zh-CN"/>
        </w:rPr>
      </w:pPr>
      <w:r>
        <w:rPr>
          <w:rFonts w:hint="eastAsia"/>
          <w:b/>
          <w:bCs/>
          <w:sz w:val="24"/>
          <w:szCs w:val="24"/>
          <w:lang w:val="en-US" w:eastAsia="zh-CN"/>
        </w:rPr>
        <w:t>十、接受、提供可能影响公正执行公务的宴请或者旅游、健身、娱乐等活动安排问题</w:t>
      </w:r>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b/>
          <w:bCs/>
          <w:sz w:val="24"/>
          <w:szCs w:val="24"/>
          <w:lang w:val="en-US" w:eastAsia="zh-CN"/>
        </w:rPr>
      </w:pPr>
      <w:r>
        <w:rPr>
          <w:rFonts w:hint="eastAsia" w:ascii="楷体" w:hAnsi="楷体" w:eastAsia="楷体" w:cs="楷体"/>
          <w:b/>
          <w:bCs/>
          <w:sz w:val="24"/>
          <w:szCs w:val="24"/>
          <w:lang w:val="en-US" w:eastAsia="zh-CN"/>
        </w:rPr>
        <w:t>第九十二条</w:t>
      </w:r>
      <w:r>
        <w:rPr>
          <w:rFonts w:hint="eastAsia" w:ascii="楷体" w:hAnsi="楷体" w:eastAsia="楷体" w:cs="楷体"/>
          <w:b w:val="0"/>
          <w:bCs w:val="0"/>
          <w:sz w:val="24"/>
          <w:szCs w:val="24"/>
          <w:lang w:val="en-US" w:eastAsia="zh-CN"/>
        </w:rPr>
        <w:t>　接受、提供可能影响公正执行公务的宴请或者旅游、健身、娱乐等活动安排，情节较重的，给予警告或者严重警告处分；情节严重的，给予撤销党内职务或者留党察看处分。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b/>
          <w:bCs/>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A38338"/>
    <w:multiLevelType w:val="singleLevel"/>
    <w:tmpl w:val="39A3833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C8014A"/>
    <w:rsid w:val="48C8014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000000"/>
      <w:u w:val="none"/>
    </w:rPr>
  </w:style>
  <w:style w:type="character" w:styleId="6">
    <w:name w:val="Emphasis"/>
    <w:basedOn w:val="4"/>
    <w:qFormat/>
    <w:uiPriority w:val="0"/>
  </w:style>
  <w:style w:type="character" w:styleId="7">
    <w:name w:val="Hyperlink"/>
    <w:basedOn w:val="4"/>
    <w:uiPriority w:val="0"/>
    <w:rPr>
      <w:color w:val="000000"/>
      <w:u w:val="none"/>
    </w:rPr>
  </w:style>
  <w:style w:type="character" w:styleId="8">
    <w:name w:val="HTML Cite"/>
    <w:basedOn w:val="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x306\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2018-09-21T01:08:00Z</dcterms:created>
  <dc:creator>刘东晓</dc:creator>
  <cp:lastModifiedBy>刘东晓</cp:lastModifiedBy>
  <dcterms:modified xsi:type="dcterms:W3CDTF">2018-09-21T01:31:09Z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